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438" w:rsidRDefault="00993438" w:rsidP="001B58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4/a. sz. melléklet:</w:t>
      </w:r>
    </w:p>
    <w:p w:rsidR="00993438" w:rsidRPr="004024A0" w:rsidRDefault="00993438" w:rsidP="001B583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>a jogelődnél</w:t>
      </w:r>
    </w:p>
    <w:p w:rsidR="00993438" w:rsidRDefault="00993438" w:rsidP="00E95FD3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(nincs melléklet)</w:t>
      </w:r>
    </w:p>
    <w:p w:rsidR="00993438" w:rsidRDefault="0099343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93438" w:rsidRDefault="00993438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993438" w:rsidRPr="00D26E33" w:rsidRDefault="0099343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993438" w:rsidRPr="00D26E33" w:rsidRDefault="0099343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993438" w:rsidRPr="00E95FD3" w:rsidRDefault="00993438" w:rsidP="00E95FD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E95FD3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E95FD3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érintett társaság neve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E95FD3">
        <w:rPr>
          <w:rFonts w:ascii="Times New Roman" w:hAnsi="Times New Roman"/>
          <w:b/>
          <w:sz w:val="20"/>
          <w:szCs w:val="20"/>
          <w:lang w:val="hu-HU"/>
        </w:rPr>
        <w:t xml:space="preserve"> társaság</w:t>
      </w:r>
      <w:r w:rsidRPr="00E95FD3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993438" w:rsidRDefault="0099343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993438" w:rsidRPr="00D2184F" w:rsidRDefault="0099343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993438" w:rsidRDefault="00993438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993438" w:rsidRDefault="00993438" w:rsidP="001B583F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a(z)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E95FD3">
        <w:rPr>
          <w:rFonts w:ascii="Times New Roman" w:hAnsi="Times New Roman"/>
          <w:color w:val="FF0000"/>
          <w:sz w:val="20"/>
          <w:lang w:val="hu-HU"/>
        </w:rPr>
        <w:t>[</w:t>
      </w:r>
      <w:r w:rsidRPr="00E95FD3">
        <w:rPr>
          <w:rFonts w:ascii="Times New Roman" w:hAnsi="Times New Roman"/>
          <w:i/>
          <w:color w:val="FF0000"/>
          <w:sz w:val="20"/>
          <w:lang w:val="hu-HU"/>
        </w:rPr>
        <w:t>Kiválással érintett társaság neve</w:t>
      </w:r>
      <w:r w:rsidRPr="00E95FD3">
        <w:rPr>
          <w:rFonts w:ascii="Times New Roman" w:hAnsi="Times New Roman"/>
          <w:color w:val="FF0000"/>
          <w:sz w:val="20"/>
          <w:lang w:val="hu-HU"/>
        </w:rPr>
        <w:t>]</w:t>
      </w:r>
      <w:r w:rsidRPr="00E95FD3">
        <w:rPr>
          <w:rFonts w:ascii="Times New Roman" w:hAnsi="Times New Roman"/>
          <w:sz w:val="20"/>
          <w:lang w:val="hu-HU"/>
        </w:rPr>
        <w:t xml:space="preserve">, mint a kiválás után változatlan formában továbbműködő társaság („jogelőd társaság”) kiválás előtti állapotra vonatkozó vagyonmérleg-tervezetét, amelyben az eszközök és források egyező végösszege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 w:rsidRPr="00E95FD3">
        <w:rPr>
          <w:rFonts w:ascii="Times New Roman" w:hAnsi="Times New Roman"/>
          <w:sz w:val="20"/>
          <w:lang w:val="hu-HU"/>
        </w:rPr>
        <w:t xml:space="preserve">, a jegyzett tőke 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 w:rsidRPr="00E95FD3">
        <w:rPr>
          <w:rFonts w:ascii="Times New Roman" w:hAnsi="Times New Roman"/>
          <w:sz w:val="20"/>
          <w:lang w:val="hu-HU"/>
        </w:rPr>
        <w:t xml:space="preserve">, a saját tőke 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993438" w:rsidRPr="00D2184F" w:rsidRDefault="0099343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93438" w:rsidRDefault="00993438" w:rsidP="00E95FD3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993438" w:rsidRPr="002E3ADC" w:rsidRDefault="00993438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93438" w:rsidRPr="00D26E33" w:rsidRDefault="00993438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993438" w:rsidRDefault="0099343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93438" w:rsidRDefault="00993438" w:rsidP="0088114F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993438" w:rsidRPr="00D26E33" w:rsidRDefault="0099343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93438" w:rsidRDefault="00993438" w:rsidP="0088114F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993438" w:rsidRPr="00CD0C83" w:rsidRDefault="0099343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93438" w:rsidRDefault="0099343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993438" w:rsidRDefault="0099343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993438" w:rsidRPr="00D81BE9" w:rsidRDefault="00993438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993438" w:rsidRDefault="00993438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93438" w:rsidRPr="00D81BE9" w:rsidRDefault="00993438" w:rsidP="0088114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993438" w:rsidRPr="00D26E33" w:rsidRDefault="00993438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993438" w:rsidRPr="003D1DA3" w:rsidRDefault="00993438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993438" w:rsidRDefault="0099343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93438" w:rsidRDefault="00993438" w:rsidP="0088114F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jogelőd társaság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vagyonmérleg-tervezete és az azt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993438" w:rsidRPr="003D1DA3" w:rsidRDefault="0099343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93438" w:rsidRDefault="00993438" w:rsidP="0088114F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993438" w:rsidRPr="003D1DA3" w:rsidRDefault="00993438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993438" w:rsidRPr="00D26E33" w:rsidRDefault="00993438" w:rsidP="0088114F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993438" w:rsidRDefault="00993438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993438" w:rsidRDefault="00993438" w:rsidP="0088114F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 </w:t>
      </w:r>
      <w:r w:rsidRPr="00D26E33">
        <w:rPr>
          <w:spacing w:val="1"/>
          <w:lang w:val="hu-HU"/>
        </w:rPr>
        <w:t xml:space="preserve">elkészítése. </w:t>
      </w:r>
    </w:p>
    <w:p w:rsidR="00993438" w:rsidRDefault="0099343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993438" w:rsidRDefault="00993438" w:rsidP="002E6E9B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993438" w:rsidRDefault="0099343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993438" w:rsidRDefault="00993438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</w:t>
      </w:r>
      <w:r>
        <w:rPr>
          <w:spacing w:val="1"/>
          <w:lang w:val="hu-HU"/>
        </w:rPr>
        <w:t xml:space="preserve">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993438" w:rsidRDefault="0099343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993438" w:rsidRDefault="00993438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993438" w:rsidRDefault="0099343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993438" w:rsidRDefault="00993438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 </w:t>
      </w:r>
      <w:r w:rsidRPr="00D26E33">
        <w:rPr>
          <w:lang w:val="hu-HU"/>
        </w:rPr>
        <w:t xml:space="preserve">alapján meghozott gazdasági döntéseit. </w:t>
      </w:r>
    </w:p>
    <w:p w:rsidR="00993438" w:rsidRPr="00BF5EE3" w:rsidRDefault="00993438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993438" w:rsidRPr="00764D30" w:rsidRDefault="00993438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993438" w:rsidRPr="00D26E33" w:rsidRDefault="00993438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993438" w:rsidRPr="00D26E33" w:rsidRDefault="00993438" w:rsidP="0088114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993438" w:rsidRPr="00D26E33" w:rsidRDefault="00993438" w:rsidP="0088114F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993438" w:rsidRPr="00D26E33" w:rsidRDefault="00993438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993438" w:rsidRDefault="00993438" w:rsidP="002E6E9B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kiválás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993438" w:rsidRPr="001F4991" w:rsidRDefault="00993438" w:rsidP="0088114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993438" w:rsidRPr="00F5435B" w:rsidRDefault="00993438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993438" w:rsidRDefault="00993438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993438" w:rsidRDefault="00993438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993438" w:rsidRPr="003A48B3" w:rsidRDefault="0099343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993438" w:rsidRPr="00D26E33" w:rsidRDefault="0099343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993438" w:rsidRPr="00D26E33" w:rsidRDefault="0099343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993438" w:rsidRPr="00D26E33" w:rsidRDefault="0099343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993438" w:rsidRPr="00D26E33" w:rsidRDefault="00993438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993438" w:rsidRPr="00D26E33" w:rsidRDefault="00993438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993438" w:rsidRPr="0080033F" w:rsidRDefault="00993438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993438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438" w:rsidRDefault="00993438" w:rsidP="001E2511">
      <w:pPr>
        <w:spacing w:after="0" w:line="240" w:lineRule="auto"/>
      </w:pPr>
      <w:r>
        <w:separator/>
      </w:r>
    </w:p>
  </w:endnote>
  <w:endnote w:type="continuationSeparator" w:id="0">
    <w:p w:rsidR="00993438" w:rsidRDefault="00993438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438" w:rsidRDefault="00993438">
    <w:pPr>
      <w:pStyle w:val="Footer"/>
      <w:jc w:val="center"/>
    </w:pPr>
    <w:fldSimple w:instr="PAGE   \* MERGEFORMAT">
      <w:r w:rsidRPr="002E6E9B">
        <w:rPr>
          <w:noProof/>
          <w:lang w:val="hu-HU"/>
        </w:rPr>
        <w:t>1</w:t>
      </w:r>
    </w:fldSimple>
  </w:p>
  <w:p w:rsidR="00993438" w:rsidRDefault="009934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438" w:rsidRDefault="00993438" w:rsidP="001E2511">
      <w:pPr>
        <w:spacing w:after="0" w:line="240" w:lineRule="auto"/>
      </w:pPr>
      <w:r>
        <w:separator/>
      </w:r>
    </w:p>
  </w:footnote>
  <w:footnote w:type="continuationSeparator" w:id="0">
    <w:p w:rsidR="00993438" w:rsidRDefault="00993438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B583F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E6E9B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2FB4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B364F"/>
    <w:rsid w:val="006F0FF0"/>
    <w:rsid w:val="00710685"/>
    <w:rsid w:val="00715F72"/>
    <w:rsid w:val="007312ED"/>
    <w:rsid w:val="00732E14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8114F"/>
    <w:rsid w:val="008876A6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85D25"/>
    <w:rsid w:val="00993438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C4C79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541D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D7955"/>
    <w:rsid w:val="00DE1C94"/>
    <w:rsid w:val="00DF3B46"/>
    <w:rsid w:val="00E06CF1"/>
    <w:rsid w:val="00E118F2"/>
    <w:rsid w:val="00E30346"/>
    <w:rsid w:val="00E358DF"/>
    <w:rsid w:val="00E43303"/>
    <w:rsid w:val="00E645DA"/>
    <w:rsid w:val="00E73659"/>
    <w:rsid w:val="00E82A22"/>
    <w:rsid w:val="00E9337D"/>
    <w:rsid w:val="00E95FD3"/>
    <w:rsid w:val="00E97BC5"/>
    <w:rsid w:val="00EA0E40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B1CF9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7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1093</Words>
  <Characters>7547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2018-03-26T10:04:00Z</dcterms:created>
  <dcterms:modified xsi:type="dcterms:W3CDTF">2018-07-03T13:13:00Z</dcterms:modified>
</cp:coreProperties>
</file>